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63" w:rsidRDefault="00086D6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6D63" w:rsidRDefault="00086D63">
      <w:pPr>
        <w:pStyle w:val="ConsPlusNormal"/>
        <w:jc w:val="both"/>
        <w:outlineLvl w:val="0"/>
      </w:pPr>
    </w:p>
    <w:p w:rsidR="00086D63" w:rsidRDefault="00086D63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  <w:r>
        <w:t xml:space="preserve"> и введен в действие</w:t>
      </w:r>
    </w:p>
    <w:p w:rsidR="00086D63" w:rsidRDefault="00086D63">
      <w:pPr>
        <w:pStyle w:val="ConsPlusNormal"/>
        <w:jc w:val="right"/>
      </w:pPr>
      <w:hyperlink r:id="rId6" w:history="1">
        <w:r>
          <w:rPr>
            <w:color w:val="0000FF"/>
          </w:rPr>
          <w:t>Приказом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086D63" w:rsidRDefault="00086D63">
      <w:pPr>
        <w:pStyle w:val="ConsPlusNormal"/>
        <w:jc w:val="right"/>
      </w:pPr>
      <w:r>
        <w:t xml:space="preserve">агентства по </w:t>
      </w:r>
      <w:proofErr w:type="gramStart"/>
      <w:r>
        <w:t>техническому</w:t>
      </w:r>
      <w:proofErr w:type="gramEnd"/>
    </w:p>
    <w:p w:rsidR="00086D63" w:rsidRDefault="00086D63">
      <w:pPr>
        <w:pStyle w:val="ConsPlusNormal"/>
        <w:jc w:val="right"/>
      </w:pPr>
      <w:r>
        <w:t>регулированию и метрологии</w:t>
      </w:r>
    </w:p>
    <w:p w:rsidR="00086D63" w:rsidRDefault="00086D63">
      <w:pPr>
        <w:pStyle w:val="ConsPlusNormal"/>
        <w:jc w:val="right"/>
      </w:pPr>
      <w:r>
        <w:t>от 7 июня 2017 г. N 500-ст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Title"/>
        <w:jc w:val="center"/>
      </w:pPr>
      <w:r>
        <w:t>НАЦИОНАЛЬНЫЙ СТАНДАРТ РОССИЙСКОЙ ФЕДЕРАЦИИ</w:t>
      </w:r>
    </w:p>
    <w:p w:rsidR="00086D63" w:rsidRDefault="00086D63">
      <w:pPr>
        <w:pStyle w:val="ConsPlusTitle"/>
        <w:jc w:val="center"/>
      </w:pPr>
    </w:p>
    <w:p w:rsidR="00086D63" w:rsidRDefault="00086D63">
      <w:pPr>
        <w:pStyle w:val="ConsPlusTitle"/>
        <w:jc w:val="center"/>
      </w:pPr>
      <w:r>
        <w:t>РУКОВОДСТВО</w:t>
      </w:r>
    </w:p>
    <w:p w:rsidR="00086D63" w:rsidRDefault="00086D63">
      <w:pPr>
        <w:pStyle w:val="ConsPlusTitle"/>
        <w:jc w:val="center"/>
      </w:pPr>
      <w:r>
        <w:t>ПО ДОБРОСОВЕСТНОЙ ПРАКТИКЕ ПРОДАЖИ ТОВАРОВ</w:t>
      </w:r>
    </w:p>
    <w:p w:rsidR="00086D63" w:rsidRDefault="00086D63">
      <w:pPr>
        <w:pStyle w:val="ConsPlusTitle"/>
        <w:jc w:val="center"/>
      </w:pPr>
      <w:r>
        <w:t>ДИСТАНЦИОННЫМ СПОСОБОМ С ИСПОЛЬЗОВАНИЕМ СЕТИ ИНТЕРНЕТ</w:t>
      </w:r>
    </w:p>
    <w:p w:rsidR="00086D63" w:rsidRDefault="00086D63">
      <w:pPr>
        <w:pStyle w:val="ConsPlusTitle"/>
        <w:jc w:val="center"/>
      </w:pPr>
    </w:p>
    <w:p w:rsidR="00086D63" w:rsidRPr="00086D63" w:rsidRDefault="00086D63">
      <w:pPr>
        <w:pStyle w:val="ConsPlusTitle"/>
        <w:jc w:val="center"/>
        <w:rPr>
          <w:lang w:val="en-US"/>
        </w:rPr>
      </w:pPr>
      <w:r w:rsidRPr="00086D63">
        <w:rPr>
          <w:lang w:val="en-US"/>
        </w:rPr>
        <w:t>Guidelines on diligent practice for selling goods</w:t>
      </w:r>
    </w:p>
    <w:p w:rsidR="00086D63" w:rsidRPr="00086D63" w:rsidRDefault="00086D63">
      <w:pPr>
        <w:pStyle w:val="ConsPlusTitle"/>
        <w:jc w:val="center"/>
        <w:rPr>
          <w:lang w:val="en-US"/>
        </w:rPr>
      </w:pPr>
      <w:r w:rsidRPr="00086D63">
        <w:rPr>
          <w:lang w:val="en-US"/>
        </w:rPr>
        <w:t>by electronic shopping</w:t>
      </w:r>
    </w:p>
    <w:p w:rsidR="00086D63" w:rsidRPr="00086D63" w:rsidRDefault="00086D63">
      <w:pPr>
        <w:pStyle w:val="ConsPlusTitle"/>
        <w:jc w:val="center"/>
        <w:rPr>
          <w:lang w:val="en-US"/>
        </w:rPr>
      </w:pPr>
    </w:p>
    <w:p w:rsidR="00086D63" w:rsidRPr="00086D63" w:rsidRDefault="00086D63">
      <w:pPr>
        <w:pStyle w:val="ConsPlusTitle"/>
        <w:jc w:val="center"/>
        <w:rPr>
          <w:lang w:val="en-US"/>
        </w:rPr>
      </w:pPr>
      <w:r>
        <w:t>ГОСТ</w:t>
      </w:r>
      <w:r w:rsidRPr="00086D63">
        <w:rPr>
          <w:lang w:val="en-US"/>
        </w:rPr>
        <w:t xml:space="preserve"> </w:t>
      </w:r>
      <w:proofErr w:type="gramStart"/>
      <w:r>
        <w:t>Р</w:t>
      </w:r>
      <w:proofErr w:type="gramEnd"/>
      <w:r w:rsidRPr="00086D63">
        <w:rPr>
          <w:lang w:val="en-US"/>
        </w:rPr>
        <w:t xml:space="preserve"> 57489-2017</w:t>
      </w:r>
    </w:p>
    <w:p w:rsidR="00086D63" w:rsidRPr="00086D63" w:rsidRDefault="00086D63">
      <w:pPr>
        <w:pStyle w:val="ConsPlusNormal"/>
        <w:jc w:val="both"/>
        <w:rPr>
          <w:lang w:val="en-US"/>
        </w:rPr>
      </w:pPr>
    </w:p>
    <w:p w:rsidR="00086D63" w:rsidRDefault="00086D63">
      <w:pPr>
        <w:pStyle w:val="ConsPlusNormal"/>
        <w:jc w:val="right"/>
      </w:pPr>
      <w:r>
        <w:t>ОКС 03.120</w:t>
      </w:r>
    </w:p>
    <w:p w:rsidR="00086D63" w:rsidRDefault="00086D63">
      <w:pPr>
        <w:pStyle w:val="ConsPlusNormal"/>
        <w:jc w:val="right"/>
      </w:pPr>
      <w:r>
        <w:t>03.100.20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right"/>
      </w:pPr>
      <w:r>
        <w:t>Дата введения</w:t>
      </w:r>
    </w:p>
    <w:p w:rsidR="00086D63" w:rsidRDefault="00086D63">
      <w:pPr>
        <w:pStyle w:val="ConsPlusNormal"/>
        <w:jc w:val="right"/>
      </w:pPr>
      <w:r>
        <w:t>1 января 2018 года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Предисловие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1 РАЗРАБОТАН Автономной некоммерческой организацией "Российский институт потребительских испытаний" (РИПИ)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2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111 "Защита прав потребителей на основе контроля продукции на стадиях обращения и при оказании услуг"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3 </w:t>
      </w:r>
      <w:proofErr w:type="gramStart"/>
      <w:r>
        <w:t>УТВЕРЖДЕН</w:t>
      </w:r>
      <w:proofErr w:type="gramEnd"/>
      <w:r>
        <w:t xml:space="preserve"> И ВВЕДЕН В ДЕЙСТВИЕ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7 июня 2017 г. N 500-ст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4 ВВЕДЕН ВПЕРВЫЕ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Правила применения настоящего стандарта установлены в </w:t>
      </w:r>
      <w:hyperlink r:id="rId8" w:history="1">
        <w:r>
          <w:rPr>
            <w:color w:val="0000FF"/>
          </w:rPr>
          <w:t>статье 26</w:t>
        </w:r>
      </w:hyperlink>
      <w:r>
        <w:t xml:space="preserve"> Федерального закона от 29 июня 2015 г. N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Введение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В настоящее время все большее количество потребительских товаров потребители приобретают дистанционным способом торговли. Растет число </w:t>
      </w:r>
      <w:proofErr w:type="gramStart"/>
      <w:r>
        <w:t>интернет-магазинов</w:t>
      </w:r>
      <w:proofErr w:type="gramEnd"/>
      <w:r>
        <w:t xml:space="preserve">. Опыт </w:t>
      </w:r>
      <w:r>
        <w:lastRenderedPageBreak/>
        <w:t>зарубежных стран с развитой рыночной экономикой говорит о том, что эта тенденция будет усиливаться и в России.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С ростом доли дистанционных продаж (главным образом телекоммуникационных) неуклонно возрастает и количество жалоб потребителей на действия продавцов. Продавцы, в свою очередь, сталкиваются с проблемой применения на практике норм права, регламентирующих дистанционную торговлю. Серьезной проблемой является также предупреждение и разрешение конфликтов с потребителями.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В настоящее время нет "прозрачного" и однозначного толкования, а самое главное, применения на практике всеми участниками рынка законодательных норм и правил торговли, которые могут распространяться на дистанционные способы продажи товаров.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Как следствие назрела необходимость разработки национального стандарта по добросовестной практике дистанционной торговли. Аналога среди российских стандартов в настоящее время нет.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Задача настоящего стандарта - регулирование процессов предупреждения и разрешения потенциально возможных конфликтов. Настоящий стандарт является инструментом, который позволит уменьшить количество обращений потребителей в контролирующие и надзорные государственные органы, а также </w:t>
      </w:r>
      <w:proofErr w:type="gramStart"/>
      <w:r>
        <w:t>снизить число</w:t>
      </w:r>
      <w:proofErr w:type="gramEnd"/>
      <w:r>
        <w:t xml:space="preserve"> судебных исков, вызванных потребительской неграмотностью как продавцов, так и потребителей.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1. Область применения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Настоящий стандарт распространяется на деятельность лиц, занимающихся предпринимательской деятельностью в сфере дистанционных продаж потребительских товаров покупателям исключительно для личных, семейных, домашних и иных нужд, не связанных с осуществлением предпринимательской деятельности, с использованием информационно-телекоммуникационной сети Интернет (далее - продажа товаров дистанционным способом с использованием сети Интернет).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Стандарт устанавливает принципы добросовестной практики и рекомендации по продаже товаров дистанционным способом с использованием сети Интернет.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Настоящий стандарт </w:t>
      </w:r>
      <w:proofErr w:type="gramStart"/>
      <w:r>
        <w:t>конкретизирует и дополняет</w:t>
      </w:r>
      <w:proofErr w:type="gramEnd"/>
      <w:r>
        <w:t xml:space="preserve"> отдельные нормы и положения обязательного к применению действующего законодательства </w:t>
      </w:r>
      <w:hyperlink w:anchor="P195" w:history="1">
        <w:r>
          <w:rPr>
            <w:color w:val="0000FF"/>
          </w:rPr>
          <w:t>[1]</w:t>
        </w:r>
      </w:hyperlink>
      <w:r>
        <w:t xml:space="preserve"> - </w:t>
      </w:r>
      <w:hyperlink w:anchor="P207" w:history="1">
        <w:r>
          <w:rPr>
            <w:color w:val="0000FF"/>
          </w:rPr>
          <w:t>[4]</w:t>
        </w:r>
      </w:hyperlink>
      <w:r>
        <w:t xml:space="preserve"> в части добросовестной практики продажи товаров дистанционным способом с использованием сети Интернет.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2. Термины и определения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2.1 продажа товаров дистанционным способом с использованием сети Интернет: Продажа товаров по договору розничной купли-продажи, заключаемому на основании ознакомления покупателя с предложенным продавцом описанием товара, представленным с использованием информационно-телекоммуникационной сети Интернет, исключающим возможность непосредственного ознакомления покупателя с товаром либо образцом товара при заключении такого договора.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2.2 покупатель: Гражданин, имеющий намерение заказать или приобрести либо заказывающий, приобретающий товары дистанционным способом с использованием сети Интернет исключительно для личных, семейных, домашних и иных нужд, не связанных с осуществлением предпринимательской деятельности.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lastRenderedPageBreak/>
        <w:t>2.3 продавец: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 с использованием сети Интернет.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2.4 интернет-магазин: Интернет-сайт, посредством которого продавец осуществляет продажу покупателям товаров дистанционным способом с использованием сети Интернет.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2.5 активная ссылка: Ссылка, открытие которой приводит к переходу на другую информационную страницу или сайт.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3. Интернет-магазин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3.1 Интернет-магазин должен иметь интуитивно понятный интерфейс, обеспечивающий оперативность взаимодействия покупателя с продавцом.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интернет-магазине, помимо сведений, размещение которых предусмотрено законодательством, необходимо размещать следующую важную для потребителей информацию: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фирменное наименование (наименование) интернет-магазина (в </w:t>
      </w:r>
      <w:proofErr w:type="gramStart"/>
      <w:r>
        <w:t>случае</w:t>
      </w:r>
      <w:proofErr w:type="gramEnd"/>
      <w:r>
        <w:t xml:space="preserve"> его наличия);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правовые нормы, регулирующие договорные отношения продавцов и покупателей при дистанционном способе продажи, в том числе и о применении к договорам купли-продажи норм </w:t>
      </w:r>
      <w:hyperlink r:id="rId9" w:history="1">
        <w:r>
          <w:rPr>
            <w:color w:val="0000FF"/>
          </w:rPr>
          <w:t>ст. 26-1</w:t>
        </w:r>
      </w:hyperlink>
      <w:r>
        <w:t xml:space="preserve"> Закона Российской Федерации </w:t>
      </w:r>
      <w:hyperlink w:anchor="P203" w:history="1">
        <w:r>
          <w:rPr>
            <w:color w:val="0000FF"/>
          </w:rPr>
          <w:t>[3]</w:t>
        </w:r>
      </w:hyperlink>
      <w:r>
        <w:t>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соблюдение требований законодательства о защите персональных данных;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направления акцепта;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оформления заказа на покупку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отмены оформленного заказа на покупку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оформления договора купли-продажи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расторжения оформленного договора купли-продажи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доступные покупателю способы оплаты произведенных заказов на покупку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отмены платежей по произведенным заказам на покупку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возврата денежных средств в связи с отменой платежей по произведенному заказу на покупку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способы и процедура осуществления доставки приобретенных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стоимость доставки приобретенных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способы и порядок оплаты назначенной доставки приобретенных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изменения адреса назначенной доставки приобретенных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отмены назначенной доставки приобретенных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возможность получения скидок и дополнительных поощрительных бонусов (в </w:t>
      </w:r>
      <w:proofErr w:type="gramStart"/>
      <w:r>
        <w:t>случае</w:t>
      </w:r>
      <w:proofErr w:type="gramEnd"/>
      <w:r>
        <w:t xml:space="preserve"> их наличия);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порядок проведения акций (в </w:t>
      </w:r>
      <w:proofErr w:type="gramStart"/>
      <w:r>
        <w:t>случае</w:t>
      </w:r>
      <w:proofErr w:type="gramEnd"/>
      <w:r>
        <w:t xml:space="preserve"> их наличия);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lastRenderedPageBreak/>
        <w:t>- порядок отказа покупателя от товаров надлежащего качества;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возврата товаров надлежащего качества, не соответствующих заказу покупателя;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замены или возврата товаров ненадлежащего качества, исполнения иных законных требований покупателя;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обращения покупателя с жалобой на действия (бездействие) продавца в организацию или иную ассоциацию, членом которой является продавец;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возможность получения бесплатной консультации у представителя продавца.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3.3 Информация, размещаемая в </w:t>
      </w:r>
      <w:proofErr w:type="gramStart"/>
      <w:r>
        <w:t>интернет-магазине</w:t>
      </w:r>
      <w:proofErr w:type="gramEnd"/>
      <w:r>
        <w:t>, должна быть актуальной.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3.4 Продавцам рекомендуется обеспечить покупателям возможность размещения индивидуальных отзывов, касающихся оценки качества товаров, оказанных услуг и (или) интерфейса </w:t>
      </w:r>
      <w:proofErr w:type="gramStart"/>
      <w:r>
        <w:t>интернет-магазина</w:t>
      </w:r>
      <w:proofErr w:type="gramEnd"/>
      <w:r>
        <w:t>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3.5 Продавцам рекомендуется разработать готовые формы опросных листов для выявления покупательской оценки качества товаров, оказанных услуг и (или) интерфейса </w:t>
      </w:r>
      <w:proofErr w:type="gramStart"/>
      <w:r>
        <w:t>интернет-магазина</w:t>
      </w:r>
      <w:proofErr w:type="gramEnd"/>
      <w:r>
        <w:t>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 xml:space="preserve">4. Информация о продавце, размещаемая в </w:t>
      </w:r>
      <w:proofErr w:type="gramStart"/>
      <w:r>
        <w:t>интернет-магазине</w:t>
      </w:r>
      <w:proofErr w:type="gramEnd"/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Продавцы обязаны размещать в </w:t>
      </w:r>
      <w:proofErr w:type="gramStart"/>
      <w:r>
        <w:t>интернет-магазине</w:t>
      </w:r>
      <w:proofErr w:type="gramEnd"/>
      <w:r>
        <w:t xml:space="preserve"> следующие сведения: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адрес места нахождения юридического лица, указанный в едином государственном </w:t>
      </w:r>
      <w:proofErr w:type="gramStart"/>
      <w:r>
        <w:t>реестре</w:t>
      </w:r>
      <w:proofErr w:type="gramEnd"/>
      <w:r>
        <w:t xml:space="preserve"> юридических лиц;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адрес (или адреса) места нахождения юридического лица, по которому осуществляется возврат товара, а также прием заявлений, уведомлений, извещений, требований или иных юридически значимых сообщений или отправлений покупателей и других заинтересованных лиц, если этот адрес отличается от адреса, указанного в едином государственном реестре юридических лиц;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адрес места нахождения индивидуального предпринимателя, по которому осуществляется возврат товара, а также прием заявлений, уведомлений, извещений, требований или иных юридически значимых сообщений или отправлений покупателей и других заинтересованных лиц;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режим работы продавца (юридического лица или индивидуального предпринимателя);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информацию о своих контактах в сети Интернет: номера телефонов и иные возможности оперативной связи;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ИНН (идентификационный номер налогоплательщика);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если продавцом является индивидуальный предприниматель, он обязан </w:t>
      </w:r>
      <w:proofErr w:type="gramStart"/>
      <w:r>
        <w:t>разместить информацию</w:t>
      </w:r>
      <w:proofErr w:type="gramEnd"/>
      <w:r>
        <w:t xml:space="preserve"> о государственной регистрации и наименовании зарегистрировавшего его органа;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режим функционирования специалистов </w:t>
      </w:r>
      <w:proofErr w:type="gramStart"/>
      <w:r>
        <w:t>интернет-магазина</w:t>
      </w:r>
      <w:proofErr w:type="gramEnd"/>
      <w:r>
        <w:t xml:space="preserve"> (продавцов, консультантов).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5. Информация о товарах и условиях их продажи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5.1</w:t>
      </w:r>
      <w:proofErr w:type="gramStart"/>
      <w:r>
        <w:t xml:space="preserve"> В</w:t>
      </w:r>
      <w:proofErr w:type="gramEnd"/>
      <w:r>
        <w:t xml:space="preserve"> интернет-магазине должна быть размещена следующая информация о товаре: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максимально детализированная информация об основных потребительских свойствах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lastRenderedPageBreak/>
        <w:t>- наименование изготовителя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изображение (фотография)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габариты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место изготовления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срок службы или срок годности и гарантийный срок;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цена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условия приобретения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условия доставки;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порядок оплаты товара;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срок, в течение которого действует предложение о заключении договора (о продаже товара на данных условиях);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акции, касающиеся цены и условий приобретения и/или доставки товара, с указанием срока их действия.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5.2 Продавцы обязаны размещать информацию обо всех дополнительных предметах, составляющих полную комплектацию товара, включая пакет инструкций по эксплуатации, сборке (разборке), элементы энергопитания, сопутствующие аксессуары, расходные материалы, </w:t>
      </w:r>
      <w:proofErr w:type="spellStart"/>
      <w:r>
        <w:t>разноракурсные</w:t>
      </w:r>
      <w:proofErr w:type="spellEnd"/>
      <w:r>
        <w:t xml:space="preserve"> фотографические снимки, полностью соответствующие описательным характеристикам товаров.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5.3</w:t>
      </w:r>
      <w:proofErr w:type="gramStart"/>
      <w:r>
        <w:t xml:space="preserve"> В</w:t>
      </w:r>
      <w:proofErr w:type="gramEnd"/>
      <w:r>
        <w:t xml:space="preserve"> случае если товар подлежит обязательному подтверждению соответствия согласно законодательству, продавцы обязаны размещать активные ссылки на действующие сертификаты соответствия и декларации о соответствии в доступном для ознакомления формате непосредственно в разделах, касающихся описательных характеристик товаров.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6. Подтверждение принятия акцепта, оформления заказа</w:t>
      </w:r>
    </w:p>
    <w:p w:rsidR="00086D63" w:rsidRDefault="00086D63">
      <w:pPr>
        <w:pStyle w:val="ConsPlusNormal"/>
        <w:jc w:val="center"/>
      </w:pPr>
      <w:r>
        <w:t>на покупку товаров и заключения договора купли-продажи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6.1 Продавцам рекомендуется при получении акцепта от покупателей незамедлительно направлять им подтверждение о его принятии, завершении оформления заказа на покупку товаров и заключении договора купли-продажи.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6.2 Подтверждение о принятии акцепта, оформлении заказа на покупку товаров и заключении договора купли-продажи рекомендуется направлять следующими способами: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осуществление входящего телефонного звонка;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отправление </w:t>
      </w:r>
      <w:proofErr w:type="gramStart"/>
      <w:r>
        <w:t>уведомительного</w:t>
      </w:r>
      <w:proofErr w:type="gramEnd"/>
      <w:r>
        <w:t xml:space="preserve"> SMS-сообщения;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отправление уведомительного MMS-сообщения (в </w:t>
      </w:r>
      <w:proofErr w:type="gramStart"/>
      <w:r>
        <w:t>случае</w:t>
      </w:r>
      <w:proofErr w:type="gramEnd"/>
      <w:r>
        <w:t xml:space="preserve"> использования фотографических снимков товаров);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отправление уведомительного сообщения на адрес электронной почты;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отправление уведомительного сообщения в "Личный кабинет".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6.3 Продавцам рекомендуется предоставить покупателям возможность выбора наиболее </w:t>
      </w:r>
      <w:r>
        <w:lastRenderedPageBreak/>
        <w:t>удобного для них способа получения подтверждения о принятии акцепта, оформлении заказа на покупку товаров и заключении договора купли-продажи.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7. Информация об организациях, занимающихся</w:t>
      </w:r>
    </w:p>
    <w:p w:rsidR="00086D63" w:rsidRDefault="00086D63">
      <w:pPr>
        <w:pStyle w:val="ConsPlusNormal"/>
        <w:jc w:val="center"/>
      </w:pPr>
      <w:r>
        <w:t>выдачей кассовых чеков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>В случаях, когда кассовые чеки выдаются покупателям не продавцом, а другой организацией, имеющей соответствующие договорные отношения с продавцом (например, организацией, осуществляющей доставку или выдачу), продавцы обязаны информировать покупателей о данном факте на стадии оформления заказа.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8. Безналичная оплата товаров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Продавцам рекомендуется в </w:t>
      </w:r>
      <w:proofErr w:type="gramStart"/>
      <w:r>
        <w:t>случае</w:t>
      </w:r>
      <w:proofErr w:type="gramEnd"/>
      <w:r>
        <w:t xml:space="preserve"> безналичной оплаты товаров направлять покупателям на адрес электронной почты либо в "Личный кабинет", созданный в интернет-магазине, подтверждение о получении денежных средств, бланк накладной и (или) акта сдачи-приемки.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9. Наличная оплата товаров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Продавцам рекомендуется в </w:t>
      </w:r>
      <w:proofErr w:type="gramStart"/>
      <w:r>
        <w:t>случае</w:t>
      </w:r>
      <w:proofErr w:type="gramEnd"/>
      <w:r>
        <w:t xml:space="preserve"> наличной оплаты товаров направлять покупателям на адрес электронной почты либо в "Личный кабинет", созданный в интернет-магазине, сведения о сумме заказа, включая доставку товара и скидки, о порядке оплаты.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10. Доставка товаров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10.1 Продавцы обязаны размещать в </w:t>
      </w:r>
      <w:proofErr w:type="gramStart"/>
      <w:r>
        <w:t>интернет-магазине</w:t>
      </w:r>
      <w:proofErr w:type="gramEnd"/>
      <w:r>
        <w:t xml:space="preserve"> перечень предлагаемых ими способов доставки товаров.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10.2 Продавцам следует при наличии двух и более предлагаемых ими способов доставки товаров предоставить покупателям возможность выбора наиболее удобного способа.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10.3 Продавцы должны размещать описание каждого предлагаемого ими способа доставки товаров.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10.4</w:t>
      </w:r>
      <w:proofErr w:type="gramStart"/>
      <w:r>
        <w:t xml:space="preserve"> В</w:t>
      </w:r>
      <w:proofErr w:type="gramEnd"/>
      <w:r>
        <w:t xml:space="preserve"> описании способа доставки товаров должны содержаться сведения: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о службе, осуществляющей доставку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доступных </w:t>
      </w:r>
      <w:proofErr w:type="gramStart"/>
      <w:r>
        <w:t>способах</w:t>
      </w:r>
      <w:proofErr w:type="gramEnd"/>
      <w:r>
        <w:t xml:space="preserve"> и порядке оплаты доставки товаров;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стоимости услуги по доставке товаров (или порядок ее расчета);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предполагаемых </w:t>
      </w:r>
      <w:proofErr w:type="gramStart"/>
      <w:r>
        <w:t>сроках</w:t>
      </w:r>
      <w:proofErr w:type="gramEnd"/>
      <w:r>
        <w:t xml:space="preserve"> доставки товаров (или порядок их расчета);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возможности отказа от товаров в случае обнаружения у них недостатков, явно возникших при осуществлении транспортировки &lt;1&gt;;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необходимости оплаты покупателем оказанной услуги по доставке товаров надлежащего качества при отказе покупателя от товара.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данном случае имеются в виду недостатки в виде механических повреждений, которые привели к утрате потребительских свойств и товарного вида (к примеру, сколы, трещины и т.п.).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lastRenderedPageBreak/>
        <w:t>10.5</w:t>
      </w:r>
      <w:proofErr w:type="gramStart"/>
      <w:r>
        <w:t xml:space="preserve"> В</w:t>
      </w:r>
      <w:proofErr w:type="gramEnd"/>
      <w:r>
        <w:t xml:space="preserve"> описании способа доставки товаров рекомендуется информировать о материалах, применяемых для упаковки товаров и их защиты от возможных механических повреждений.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t>11. Отказ покупателя от товаров надлежащего качества,</w:t>
      </w:r>
    </w:p>
    <w:p w:rsidR="00086D63" w:rsidRDefault="00086D63">
      <w:pPr>
        <w:pStyle w:val="ConsPlusNormal"/>
        <w:jc w:val="center"/>
      </w:pPr>
      <w:proofErr w:type="gramStart"/>
      <w:r>
        <w:t>соответствующих</w:t>
      </w:r>
      <w:proofErr w:type="gramEnd"/>
      <w:r>
        <w:t xml:space="preserve"> заказу покупателя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11.1 Продавцы обязаны размещать в </w:t>
      </w:r>
      <w:proofErr w:type="gramStart"/>
      <w:r>
        <w:t>интернет-магазине</w:t>
      </w:r>
      <w:proofErr w:type="gramEnd"/>
      <w:r>
        <w:t xml:space="preserve"> информацию об условиях отказа покупателя от товара надлежащего качества, соответствующего заказу покупателя, и порядке возврата такого товара. При этом необходимо информировать покупателей, что данные товары должны сохранять товарный вид и потребительские свойства.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11.2 Продавцам рекомендуется указывать тот способ связи с покупателями, который может обеспечить наиболее оперативное осуществление возврата товаров надлежащего качества, соответствующих заявленным характеристикам.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11.3 Продавцам рекомендуется предоставить покупателям возможность выбора наиболее удобного для них способа связи для возврата товаров надлежащего качества, соответствующих заказу покупателя.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Продавцам рекомендуется предоставить покупателям возможность выбора наиболее удобного для них способа связи для возврата товаров надлежащего качества, соответствующих заказу покупателя.</w:t>
      </w:r>
    </w:p>
    <w:p w:rsidR="00086D63" w:rsidRDefault="00086D63">
      <w:pPr>
        <w:pStyle w:val="ConsPlusNormal"/>
        <w:spacing w:before="220"/>
        <w:ind w:firstLine="540"/>
        <w:jc w:val="both"/>
      </w:pPr>
      <w:bookmarkStart w:id="0" w:name="P166"/>
      <w:bookmarkEnd w:id="0"/>
      <w:r>
        <w:t>11.4 Возможны следующие способы связи продавца и покупателя при возврате товаров надлежащего качества, соответствующих заказу покупателя: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осуществление входящего телефонного звонка;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отправление </w:t>
      </w:r>
      <w:proofErr w:type="gramStart"/>
      <w:r>
        <w:t>уведомительных</w:t>
      </w:r>
      <w:proofErr w:type="gramEnd"/>
      <w:r>
        <w:t xml:space="preserve"> SMS-сообщений;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- заполнение веб-формы в "Личном </w:t>
      </w:r>
      <w:proofErr w:type="gramStart"/>
      <w:r>
        <w:t>кабинете</w:t>
      </w:r>
      <w:proofErr w:type="gramEnd"/>
      <w:r>
        <w:t>";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направление заполненной формы по электронной почте;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- направление письма в свободной форме по электронной почте.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11.5 Продавцам рекомендуется разработать готовую форму для покупателей, выступающих с инициативой возврата товаров надлежащего качества, соответствующих заказу покупателя.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11.6 Продавцам рекомендуется присваивать идентификационные номера обращениям покупателей, решивших осуществить возврат товаров надлежащего качества, соответствующих заказу покупателя, а также вести на основе имеющихся персонифицированных данных электронный журнал учета таких обращений.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11.7 Продавцам рекомендуется обеспечить покупателям возможность пользования платной услугой по возврату товаров надлежащего качества, соответствующих заказу покупателя, силами продавцов по месту нахождения покупателей, в сроки, установленные законодательством или условиями договора купли-продажи. Тариф на услугу по возврату товаров надлежащего качества </w:t>
      </w:r>
      <w:proofErr w:type="gramStart"/>
      <w:r>
        <w:t>устанавливается продавцами и доводится</w:t>
      </w:r>
      <w:proofErr w:type="gramEnd"/>
      <w:r>
        <w:t xml:space="preserve"> до сведения покупателей.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11.8 Продавцы должны информировать покупателей товаров с индивидуально-определенными свойствами о том, что покупатель в соответствии со </w:t>
      </w:r>
      <w:hyperlink r:id="rId10" w:history="1">
        <w:r>
          <w:rPr>
            <w:color w:val="0000FF"/>
          </w:rPr>
          <w:t>ст. 26-1</w:t>
        </w:r>
      </w:hyperlink>
      <w:r>
        <w:t xml:space="preserve"> Закона Российской Федерации </w:t>
      </w:r>
      <w:hyperlink w:anchor="P203" w:history="1">
        <w:r>
          <w:rPr>
            <w:color w:val="0000FF"/>
          </w:rPr>
          <w:t>[3]</w:t>
        </w:r>
      </w:hyperlink>
      <w:r>
        <w:t xml:space="preserve">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1"/>
      </w:pPr>
      <w:r>
        <w:lastRenderedPageBreak/>
        <w:t>12. Замена или возврат товаров ненадлежащего качества,</w:t>
      </w:r>
    </w:p>
    <w:p w:rsidR="00086D63" w:rsidRDefault="00086D63">
      <w:pPr>
        <w:pStyle w:val="ConsPlusNormal"/>
        <w:jc w:val="center"/>
      </w:pPr>
      <w:r>
        <w:t xml:space="preserve">не </w:t>
      </w:r>
      <w:proofErr w:type="gramStart"/>
      <w:r>
        <w:t>соответствующих</w:t>
      </w:r>
      <w:proofErr w:type="gramEnd"/>
      <w:r>
        <w:t xml:space="preserve"> заявленным характеристикам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ind w:firstLine="540"/>
        <w:jc w:val="both"/>
      </w:pPr>
      <w:r>
        <w:t xml:space="preserve">12.1 Продавцы обязаны размещать в </w:t>
      </w:r>
      <w:proofErr w:type="gramStart"/>
      <w:r>
        <w:t>интернет-магазине</w:t>
      </w:r>
      <w:proofErr w:type="gramEnd"/>
      <w:r>
        <w:t xml:space="preserve"> информацию о порядке замены или возврата товаров ненадлежащего качества, не соответствующих заявленным характеристикам.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 xml:space="preserve">12.2 Продавцам рекомендуется указывать способ связи с покупателями, который наиболее оперативно может обеспечить замену или возврат товаров ненадлежащего качества, не соответствующих заявленным характеристикам (см. </w:t>
      </w:r>
      <w:hyperlink w:anchor="P166" w:history="1">
        <w:r>
          <w:rPr>
            <w:color w:val="0000FF"/>
          </w:rPr>
          <w:t>11.4</w:t>
        </w:r>
      </w:hyperlink>
      <w:r>
        <w:t>).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12.3 Продавцам рекомендуется предоставить покупателям возможность выбора наиболее удобного для них способа связи в целях замены или возврата товаров ненадлежащего качества, не соответствующих заявленным характеристикам.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12.4 Продавцам рекомендуется предлагать покупателям типовую форму претензии с требованиями замены или возврата товара ненадлежащего качества, иными требованиями, предусмотренными законодательством.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12.5 Продавцам рекомендуется регистрировать претензии покупателей с требованиями замены или возврата товаров ненадлежащего качества, иными требованиями, предусмотренными законодательством, а также вести на основе имеющихся персонифицированных данных электронный журнал учета таких обращений.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12.6</w:t>
      </w:r>
      <w:proofErr w:type="gramStart"/>
      <w:r>
        <w:t xml:space="preserve"> В</w:t>
      </w:r>
      <w:proofErr w:type="gramEnd"/>
      <w:r>
        <w:t xml:space="preserve"> случае расторжения договора купли-продажи товара ненадлежащего качества продавцу рекомендуется осуществлять прием возвращаемого товара в месте, указанном покупателем.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В случае отсутствия продавца в регионе нахождения покупателя продавец обязан сообщать покупателю рекомендуемый способ возврата товара ненадлежащего качества (за счет продавца).</w:t>
      </w:r>
    </w:p>
    <w:p w:rsidR="00086D63" w:rsidRDefault="00086D63">
      <w:pPr>
        <w:pStyle w:val="ConsPlusNormal"/>
        <w:spacing w:before="220"/>
        <w:ind w:firstLine="540"/>
        <w:jc w:val="both"/>
      </w:pPr>
      <w:r>
        <w:t>12.7 Способ возврата денежных средств выбирается по согласованию продавца и покупателя. Продавцам рекомендуется предоставлять покупателям возможность выбора технически возможного для продавца способа возврата денежных средств покупателю.</w:t>
      </w: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center"/>
        <w:outlineLvl w:val="0"/>
      </w:pPr>
      <w:r>
        <w:t>БИБЛИОГРАФИЯ</w:t>
      </w:r>
    </w:p>
    <w:p w:rsidR="00086D63" w:rsidRDefault="00086D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360"/>
        <w:gridCol w:w="5160"/>
      </w:tblGrid>
      <w:tr w:rsidR="00086D6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bookmarkStart w:id="1" w:name="P195"/>
            <w:bookmarkEnd w:id="1"/>
            <w:r>
              <w:t>[1]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  <w:p w:rsidR="00086D63" w:rsidRDefault="00086D63">
            <w:pPr>
              <w:pStyle w:val="ConsPlusNormal"/>
            </w:pPr>
            <w:r>
              <w:t>от 19 января 1998 г. N 55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r>
              <w:t xml:space="preserve">Об утверждении </w:t>
            </w:r>
            <w:hyperlink r:id="rId12" w:history="1">
              <w:r>
                <w:rPr>
                  <w:color w:val="0000FF"/>
                </w:rPr>
                <w:t>Правил</w:t>
              </w:r>
            </w:hyperlink>
            <w:r>
              <w:t xml:space="preserve">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    </w:r>
          </w:p>
        </w:tc>
      </w:tr>
      <w:tr w:rsidR="00086D6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r>
              <w:t>[2]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</w:p>
          <w:p w:rsidR="00086D63" w:rsidRDefault="00086D63">
            <w:pPr>
              <w:pStyle w:val="ConsPlusNormal"/>
            </w:pPr>
            <w:r>
              <w:t>от 30 ноября 1994 г. N 51-ФЗ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r>
              <w:t>Гражданский кодекс Российской Федерации (часть первая)</w:t>
            </w:r>
          </w:p>
        </w:tc>
      </w:tr>
      <w:tr w:rsidR="00086D6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bookmarkStart w:id="2" w:name="P203"/>
            <w:bookmarkEnd w:id="2"/>
            <w:r>
              <w:lastRenderedPageBreak/>
              <w:t>[3]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</w:t>
            </w:r>
          </w:p>
          <w:p w:rsidR="00086D63" w:rsidRDefault="00086D63">
            <w:pPr>
              <w:pStyle w:val="ConsPlusNormal"/>
            </w:pPr>
            <w:r>
              <w:t>от 7 февраля 1992 г. N 2300-1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r>
              <w:t>О защите прав потребителей</w:t>
            </w:r>
          </w:p>
        </w:tc>
      </w:tr>
      <w:tr w:rsidR="00086D6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bookmarkStart w:id="3" w:name="P207"/>
            <w:bookmarkEnd w:id="3"/>
            <w:r>
              <w:t>[4]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  <w:p w:rsidR="00086D63" w:rsidRDefault="00086D63">
            <w:pPr>
              <w:pStyle w:val="ConsPlusNormal"/>
            </w:pPr>
            <w:r>
              <w:t>от 27 сентября 2007 г. N 612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086D63" w:rsidRDefault="00086D63">
            <w:pPr>
              <w:pStyle w:val="ConsPlusNormal"/>
            </w:pPr>
            <w:r>
              <w:t xml:space="preserve">Об утверждении </w:t>
            </w:r>
            <w:hyperlink r:id="rId16" w:history="1">
              <w:r>
                <w:rPr>
                  <w:color w:val="0000FF"/>
                </w:rPr>
                <w:t>Правил</w:t>
              </w:r>
            </w:hyperlink>
            <w:r>
              <w:t xml:space="preserve"> продажи товаров дистанционным способом</w:t>
            </w:r>
          </w:p>
        </w:tc>
      </w:tr>
    </w:tbl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jc w:val="both"/>
      </w:pPr>
    </w:p>
    <w:p w:rsidR="00086D63" w:rsidRDefault="00086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3C2" w:rsidRDefault="00E053C2">
      <w:bookmarkStart w:id="4" w:name="_GoBack"/>
      <w:bookmarkEnd w:id="4"/>
    </w:p>
    <w:sectPr w:rsidR="00E053C2" w:rsidSect="00AA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63"/>
    <w:rsid w:val="00086D63"/>
    <w:rsid w:val="00E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E7E8F211D4CB28DCEB372B7E2DE351CEF0179B1AB04FAC1597E2B120775724440FD9B6D290108kEBDG" TargetMode="External"/><Relationship Id="rId13" Type="http://schemas.openxmlformats.org/officeDocument/2006/relationships/hyperlink" Target="consultantplus://offline/ref=723E7E8F211D4CB28DCEB372B7E2DE351CE70670B0AA04FAC1597E2B12k0B7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E7E8F211D4CB28DCEB372B7E2DE351CED0379B3AD04FAC1597E2B120775724440FD9B6D290300kEB9G" TargetMode="External"/><Relationship Id="rId12" Type="http://schemas.openxmlformats.org/officeDocument/2006/relationships/hyperlink" Target="consultantplus://offline/ref=723E7E8F211D4CB28DCEB372B7E2DE351CEF0877B3AF04FAC1597E2B120775724440FD9B6D290301kEB7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3E7E8F211D4CB28DCEB372B7E2DE351FEC0772B7AD04FAC1597E2B120775724440FD9B6D290300kEB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E7E8F211D4CB28DCEB372B7E2DE351CED0379B3AD04FAC1597E2B12k0B7G" TargetMode="External"/><Relationship Id="rId11" Type="http://schemas.openxmlformats.org/officeDocument/2006/relationships/hyperlink" Target="consultantplus://offline/ref=723E7E8F211D4CB28DCEB372B7E2DE351CEF0877B3AF04FAC1597E2B12k0B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23E7E8F211D4CB28DCEB372B7E2DE351FEC0772B7AD04FAC1597E2B12k0B7G" TargetMode="External"/><Relationship Id="rId10" Type="http://schemas.openxmlformats.org/officeDocument/2006/relationships/hyperlink" Target="consultantplus://offline/ref=723E7E8F211D4CB28DCEB372B7E2DE351CEE0771B3A904FAC1597E2B120775724440FD9B6D290700kEB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E7E8F211D4CB28DCEB372B7E2DE351CEE0771B3A904FAC1597E2B120775724440FD9B6D290700kEB6G" TargetMode="External"/><Relationship Id="rId14" Type="http://schemas.openxmlformats.org/officeDocument/2006/relationships/hyperlink" Target="consultantplus://offline/ref=723E7E8F211D4CB28DCEB372B7E2DE351CEE0771B3A904FAC1597E2B12k0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2018-03-06T06:01:00Z</dcterms:created>
  <dcterms:modified xsi:type="dcterms:W3CDTF">2018-03-06T06:04:00Z</dcterms:modified>
</cp:coreProperties>
</file>